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3F7E2F" w:rsidRDefault="003F7E2F" w:rsidP="003F7E2F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E2F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Автомобілі </w:t>
            </w:r>
            <w:r w:rsidRPr="003F7E2F">
              <w:rPr>
                <w:rFonts w:ascii="Times New Roman" w:hAnsi="Times New Roman"/>
                <w:bCs/>
                <w:sz w:val="28"/>
                <w:szCs w:val="28"/>
              </w:rPr>
              <w:t>вантажні Mitsubishi L200</w:t>
            </w:r>
            <w:r w:rsidR="00945A6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F7E2F">
              <w:rPr>
                <w:rFonts w:ascii="Times New Roman" w:hAnsi="Times New Roman"/>
                <w:bCs/>
                <w:sz w:val="28"/>
                <w:szCs w:val="28"/>
              </w:rPr>
              <w:t>типу пікап або еквівалент</w:t>
            </w:r>
            <w:r w:rsidRPr="00144C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F7E2F">
              <w:rPr>
                <w:rFonts w:ascii="Times New Roman" w:hAnsi="Times New Roman"/>
                <w:bCs/>
                <w:sz w:val="28"/>
                <w:szCs w:val="28"/>
              </w:rPr>
              <w:t xml:space="preserve">для потреб ЗСУ та інших військових формувань </w:t>
            </w:r>
            <w:r w:rsidR="007842F1" w:rsidRPr="003F7E2F">
              <w:rPr>
                <w:rFonts w:ascii="Times New Roman" w:hAnsi="Times New Roman"/>
                <w:bCs/>
                <w:sz w:val="28"/>
                <w:szCs w:val="28"/>
              </w:rPr>
              <w:t>код ДК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 xml:space="preserve">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34130000-7: Мототранспортні вантажні засоби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34131000-4 — Пікапи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945A6F" w:rsidRPr="00945A6F">
              <w:rPr>
                <w:lang w:val="ru-RU"/>
              </w:rPr>
              <w:t>UA-2025-06-23-006854-a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945A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945A6F">
              <w:rPr>
                <w:sz w:val="28"/>
                <w:szCs w:val="28"/>
                <w:lang w:eastAsia="ru-RU"/>
              </w:rPr>
              <w:t>54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945A6F">
              <w:rPr>
                <w:sz w:val="28"/>
                <w:szCs w:val="28"/>
                <w:lang w:eastAsia="ru-RU"/>
              </w:rPr>
              <w:t>309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945A6F">
              <w:rPr>
                <w:sz w:val="28"/>
                <w:szCs w:val="28"/>
                <w:lang w:eastAsia="ru-RU"/>
              </w:rPr>
              <w:t>990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F7E2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945A6F">
              <w:rPr>
                <w:sz w:val="28"/>
                <w:szCs w:val="28"/>
                <w:lang w:val="uk-UA"/>
              </w:rPr>
              <w:t xml:space="preserve">(зі змінами)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 w:rsidR="003F7E2F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26" w:rsidRDefault="00DB3426">
      <w:r>
        <w:separator/>
      </w:r>
    </w:p>
  </w:endnote>
  <w:endnote w:type="continuationSeparator" w:id="0">
    <w:p w:rsidR="00DB3426" w:rsidRDefault="00DB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26" w:rsidRDefault="00DB3426">
      <w:r>
        <w:separator/>
      </w:r>
    </w:p>
  </w:footnote>
  <w:footnote w:type="continuationSeparator" w:id="0">
    <w:p w:rsidR="00DB3426" w:rsidRDefault="00DB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4C85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3426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0CAFC-AB18-4CE1-924F-2CCDA6A4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A9FA-3F58-48AB-8FE5-DF4A6C33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2025-06-23T12:48:00Z</dcterms:created>
  <dcterms:modified xsi:type="dcterms:W3CDTF">2025-06-23T12:48:00Z</dcterms:modified>
</cp:coreProperties>
</file>